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AB44C">
      <w:pPr>
        <w:spacing w:before="296" w:line="230" w:lineRule="auto"/>
        <w:ind w:left="14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</w:p>
    <w:p w14:paraId="0A4FD33F">
      <w:pPr>
        <w:spacing w:before="277" w:line="596" w:lineRule="exact"/>
        <w:ind w:left="463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2"/>
          <w:sz w:val="43"/>
          <w:szCs w:val="43"/>
        </w:rPr>
        <w:t>高校实验室分类参照表</w:t>
      </w:r>
    </w:p>
    <w:p w14:paraId="702635EF">
      <w:pPr>
        <w:spacing w:before="79"/>
      </w:pPr>
    </w:p>
    <w:tbl>
      <w:tblPr>
        <w:tblStyle w:val="4"/>
        <w:tblW w:w="131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700"/>
        <w:gridCol w:w="10774"/>
      </w:tblGrid>
      <w:tr w14:paraId="221F34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8" w:type="dxa"/>
            <w:vAlign w:val="top"/>
          </w:tcPr>
          <w:p w14:paraId="229E5012">
            <w:pPr>
              <w:spacing w:before="119" w:line="215" w:lineRule="auto"/>
              <w:ind w:left="1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700" w:type="dxa"/>
            <w:vAlign w:val="top"/>
          </w:tcPr>
          <w:p w14:paraId="31A0363A">
            <w:pPr>
              <w:spacing w:before="119" w:line="215" w:lineRule="auto"/>
              <w:ind w:left="2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实验室分类</w:t>
            </w:r>
          </w:p>
        </w:tc>
        <w:tc>
          <w:tcPr>
            <w:tcW w:w="10774" w:type="dxa"/>
            <w:vAlign w:val="top"/>
          </w:tcPr>
          <w:p w14:paraId="6ED5E22E">
            <w:pPr>
              <w:spacing w:before="119" w:line="215" w:lineRule="auto"/>
              <w:ind w:left="46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分类参照依据</w:t>
            </w:r>
          </w:p>
        </w:tc>
      </w:tr>
      <w:tr w14:paraId="6D2797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08" w:type="dxa"/>
            <w:vAlign w:val="top"/>
          </w:tcPr>
          <w:p w14:paraId="712A930F">
            <w:pPr>
              <w:spacing w:line="241" w:lineRule="auto"/>
              <w:rPr>
                <w:rFonts w:ascii="Arial"/>
                <w:sz w:val="21"/>
              </w:rPr>
            </w:pPr>
          </w:p>
          <w:p w14:paraId="4C2CF56D">
            <w:pPr>
              <w:spacing w:line="242" w:lineRule="auto"/>
              <w:rPr>
                <w:rFonts w:ascii="Arial"/>
                <w:sz w:val="21"/>
              </w:rPr>
            </w:pPr>
          </w:p>
          <w:p w14:paraId="004C74C8">
            <w:pPr>
              <w:spacing w:before="69" w:line="188" w:lineRule="auto"/>
              <w:ind w:left="3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top"/>
          </w:tcPr>
          <w:p w14:paraId="79BD7EF6">
            <w:pPr>
              <w:spacing w:line="436" w:lineRule="auto"/>
              <w:rPr>
                <w:rFonts w:ascii="Arial"/>
                <w:sz w:val="21"/>
              </w:rPr>
            </w:pPr>
          </w:p>
          <w:p w14:paraId="00A80009">
            <w:pPr>
              <w:spacing w:before="78" w:line="224" w:lineRule="auto"/>
              <w:ind w:left="13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化学类实验室</w:t>
            </w:r>
          </w:p>
        </w:tc>
        <w:tc>
          <w:tcPr>
            <w:tcW w:w="10774" w:type="dxa"/>
            <w:vAlign w:val="top"/>
          </w:tcPr>
          <w:p w14:paraId="7DFA6566">
            <w:pPr>
              <w:spacing w:before="117" w:line="276" w:lineRule="auto"/>
              <w:ind w:left="135" w:right="106" w:hanging="28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包括从事化学、药学、化学工程、环境科学与工程、材料科学与工程等较多涉及化学试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剂或化学反应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的实验室。这类实验中的危险源分为两类，一类是易燃、易爆、有毒化学品（含实验气体）可能带来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的化学性危险源，另一类是设备设施缺陷和防护缺陷所带来的物理性危险源</w:t>
            </w:r>
          </w:p>
        </w:tc>
      </w:tr>
      <w:tr w14:paraId="1F100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708" w:type="dxa"/>
            <w:vAlign w:val="top"/>
          </w:tcPr>
          <w:p w14:paraId="305DAC46">
            <w:pPr>
              <w:spacing w:line="342" w:lineRule="auto"/>
              <w:rPr>
                <w:rFonts w:ascii="Arial"/>
                <w:sz w:val="21"/>
              </w:rPr>
            </w:pPr>
          </w:p>
          <w:p w14:paraId="43FE3FAC">
            <w:pPr>
              <w:spacing w:line="342" w:lineRule="auto"/>
              <w:rPr>
                <w:rFonts w:ascii="Arial"/>
                <w:sz w:val="21"/>
              </w:rPr>
            </w:pPr>
          </w:p>
          <w:p w14:paraId="64270DD8">
            <w:pPr>
              <w:spacing w:before="69" w:line="188" w:lineRule="auto"/>
              <w:ind w:left="2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top"/>
          </w:tcPr>
          <w:p w14:paraId="31448DA2">
            <w:pPr>
              <w:spacing w:line="317" w:lineRule="auto"/>
              <w:rPr>
                <w:rFonts w:ascii="Arial"/>
                <w:sz w:val="21"/>
              </w:rPr>
            </w:pPr>
          </w:p>
          <w:p w14:paraId="01538402">
            <w:pPr>
              <w:spacing w:line="317" w:lineRule="auto"/>
              <w:rPr>
                <w:rFonts w:ascii="Arial"/>
                <w:sz w:val="21"/>
              </w:rPr>
            </w:pPr>
          </w:p>
          <w:p w14:paraId="4DE4A047">
            <w:pPr>
              <w:spacing w:before="78" w:line="229" w:lineRule="auto"/>
              <w:ind w:left="14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生物类实验室</w:t>
            </w:r>
          </w:p>
        </w:tc>
        <w:tc>
          <w:tcPr>
            <w:tcW w:w="10774" w:type="dxa"/>
            <w:vAlign w:val="top"/>
          </w:tcPr>
          <w:p w14:paraId="10D7E00A">
            <w:pPr>
              <w:spacing w:before="117" w:line="284" w:lineRule="auto"/>
              <w:ind w:left="114" w:right="106" w:hanging="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包括从事基因工程、微生物学等生物和医学专业中较多涉及病毒、细菌、真菌等微生物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研究和动物研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究的实验室。这类实验室中细菌、病毒、真菌、寄生虫、动物寄生微生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物等为主要危险源，它们的释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放、扩散可能会污染实验室内外环境的空气、水、物体表面或感染人体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。涉及病原微生物的实验室应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进行相应的审批或备案</w:t>
            </w:r>
          </w:p>
        </w:tc>
      </w:tr>
      <w:tr w14:paraId="54863A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708" w:type="dxa"/>
            <w:vAlign w:val="top"/>
          </w:tcPr>
          <w:p w14:paraId="12FF5299">
            <w:pPr>
              <w:spacing w:line="343" w:lineRule="auto"/>
              <w:rPr>
                <w:rFonts w:ascii="Arial"/>
                <w:sz w:val="21"/>
              </w:rPr>
            </w:pPr>
          </w:p>
          <w:p w14:paraId="63CBCBDB">
            <w:pPr>
              <w:spacing w:line="343" w:lineRule="auto"/>
              <w:rPr>
                <w:rFonts w:ascii="Arial"/>
                <w:sz w:val="21"/>
              </w:rPr>
            </w:pPr>
          </w:p>
          <w:p w14:paraId="09CC8015">
            <w:pPr>
              <w:spacing w:before="69" w:line="188" w:lineRule="auto"/>
              <w:ind w:left="3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Align w:val="top"/>
          </w:tcPr>
          <w:p w14:paraId="03342E1B">
            <w:pPr>
              <w:spacing w:line="318" w:lineRule="auto"/>
              <w:rPr>
                <w:rFonts w:ascii="Arial"/>
                <w:sz w:val="21"/>
              </w:rPr>
            </w:pPr>
          </w:p>
          <w:p w14:paraId="370EC7A8">
            <w:pPr>
              <w:spacing w:line="318" w:lineRule="auto"/>
              <w:rPr>
                <w:rFonts w:ascii="Arial"/>
                <w:sz w:val="21"/>
              </w:rPr>
            </w:pPr>
          </w:p>
          <w:p w14:paraId="2CE7D489">
            <w:pPr>
              <w:spacing w:before="78" w:line="229" w:lineRule="auto"/>
              <w:ind w:left="13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辐射类实验室</w:t>
            </w:r>
          </w:p>
        </w:tc>
        <w:tc>
          <w:tcPr>
            <w:tcW w:w="10774" w:type="dxa"/>
            <w:vAlign w:val="top"/>
          </w:tcPr>
          <w:p w14:paraId="47F8FA40">
            <w:pPr>
              <w:spacing w:before="117" w:line="284" w:lineRule="auto"/>
              <w:ind w:left="111" w:right="106" w:hanging="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包括物理、核科学与技术、医学、生物、化学、材料科学与工程等专业方向中涉及放射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性同位素、射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线装置与核材料的实验室。这类实验中的危险源主要是放射性同位素、射线装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置与核材料产生的电离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辐射，可能对人体造成内外照射伤害，也可能对环境产生放射性污染；存放或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使用核材料的实验室还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存在核安全风险</w:t>
            </w:r>
          </w:p>
        </w:tc>
      </w:tr>
      <w:tr w14:paraId="1329AD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708" w:type="dxa"/>
            <w:vAlign w:val="top"/>
          </w:tcPr>
          <w:p w14:paraId="1FFFEEC3">
            <w:pPr>
              <w:spacing w:line="342" w:lineRule="auto"/>
              <w:rPr>
                <w:rFonts w:ascii="Arial"/>
                <w:sz w:val="21"/>
              </w:rPr>
            </w:pPr>
          </w:p>
          <w:p w14:paraId="145FB5CD">
            <w:pPr>
              <w:spacing w:line="343" w:lineRule="auto"/>
              <w:rPr>
                <w:rFonts w:ascii="Arial"/>
                <w:sz w:val="21"/>
              </w:rPr>
            </w:pPr>
          </w:p>
          <w:p w14:paraId="009604CF">
            <w:pPr>
              <w:spacing w:before="69" w:line="188" w:lineRule="auto"/>
              <w:ind w:left="2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vAlign w:val="top"/>
          </w:tcPr>
          <w:p w14:paraId="3402B28A">
            <w:pPr>
              <w:spacing w:line="318" w:lineRule="auto"/>
              <w:rPr>
                <w:rFonts w:ascii="Arial"/>
                <w:sz w:val="21"/>
              </w:rPr>
            </w:pPr>
          </w:p>
          <w:p w14:paraId="4B5CAA77">
            <w:pPr>
              <w:spacing w:line="319" w:lineRule="auto"/>
              <w:rPr>
                <w:rFonts w:ascii="Arial"/>
                <w:sz w:val="21"/>
              </w:rPr>
            </w:pPr>
          </w:p>
          <w:p w14:paraId="37E18FD7">
            <w:pPr>
              <w:spacing w:before="78" w:line="229" w:lineRule="auto"/>
              <w:ind w:left="13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机电类实验室</w:t>
            </w:r>
          </w:p>
        </w:tc>
        <w:tc>
          <w:tcPr>
            <w:tcW w:w="10774" w:type="dxa"/>
            <w:vAlign w:val="top"/>
          </w:tcPr>
          <w:p w14:paraId="3A1EBEB0">
            <w:pPr>
              <w:spacing w:before="122" w:line="283" w:lineRule="auto"/>
              <w:ind w:left="111" w:right="106" w:hanging="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包括机械设计与制造、过程装备与控制、化工机械、材料物理、电气工程、激光工程和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人工智能等专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业方向中涉及高温、高压、高速、高大等机械设备及其他强电、强磁、激光或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低温设备的实验室，以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及大型机房等。这类实验室的主要危险包括夹击、碰撞、剪切、卷入、绞、碾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、割、刺等形式的机械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伤害以及灼伤、电路短路、人员触电、激光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伤害、冻伤等因素</w:t>
            </w:r>
          </w:p>
        </w:tc>
      </w:tr>
      <w:tr w14:paraId="364654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08" w:type="dxa"/>
            <w:vAlign w:val="top"/>
          </w:tcPr>
          <w:p w14:paraId="7951B7BE">
            <w:pPr>
              <w:spacing w:line="294" w:lineRule="auto"/>
              <w:rPr>
                <w:rFonts w:ascii="Arial"/>
                <w:sz w:val="21"/>
              </w:rPr>
            </w:pPr>
          </w:p>
          <w:p w14:paraId="36594452">
            <w:pPr>
              <w:spacing w:before="68" w:line="185" w:lineRule="auto"/>
              <w:ind w:left="3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vAlign w:val="top"/>
          </w:tcPr>
          <w:p w14:paraId="1D961E18">
            <w:pPr>
              <w:rPr>
                <w:rFonts w:ascii="Arial"/>
                <w:sz w:val="21"/>
              </w:rPr>
            </w:pPr>
          </w:p>
          <w:p w14:paraId="55C5864D">
            <w:pPr>
              <w:spacing w:before="78" w:line="225" w:lineRule="auto"/>
              <w:ind w:left="13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其他类实验室</w:t>
            </w:r>
          </w:p>
        </w:tc>
        <w:tc>
          <w:tcPr>
            <w:tcW w:w="10774" w:type="dxa"/>
            <w:vAlign w:val="top"/>
          </w:tcPr>
          <w:p w14:paraId="0DC93FAB">
            <w:pPr>
              <w:spacing w:before="120" w:line="261" w:lineRule="auto"/>
              <w:ind w:left="114" w:right="106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包括社科类、艺术类专业相关的实验室或实训室，危险源主要是少量的用电设备可能带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来的用电安全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或消防安全风险</w:t>
            </w:r>
          </w:p>
        </w:tc>
      </w:tr>
    </w:tbl>
    <w:p w14:paraId="41E8DC7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3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2024-12-04T07:05:27Z</dcterms:created>
  <dc:creator>Administrator</dc:creator>
  <cp:lastModifiedBy>Joyce</cp:lastModifiedBy>
  <dcterms:modified xsi:type="dcterms:W3CDTF">2024-12-04T07:06:15Z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F8AA2FEB315742339D9ED207663BB27D_12</vt:lpwstr>
  </property>
</Properties>
</file>